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In dem Antrag sind neben den in § 2 Absatz 1 genannten Daten die Ergebnisse der amtlichen Vermessung anzugeben sowie</w:t>
      </w:r>
    </w:p>
    <w:p>
      <w:pPr>
        <w:ind w:left="420"/>
      </w:pPr>
      <w:r>
        <w:t xml:space="preserve">1. in den Fällen des § 7 Absatz 1 Nummer 1</w:t>
      </w:r>
    </w:p>
    <w:p>
      <w:pPr>
        <w:ind w:left="780"/>
      </w:pPr>
      <w:r>
        <w:t xml:space="preserve">a) die Baunummer des Schiffes und</w:t>
      </w:r>
    </w:p>
    <w:p>
      <w:pPr>
        <w:ind w:left="780"/>
      </w:pPr>
      <w:r>
        <w:t xml:space="preserve">b) bei einer Überführungsfahrt der Hafen, in den das Schiff überführt werden soll;</w:t>
      </w:r>
    </w:p>
    <w:p>
      <w:pPr>
        <w:ind w:left="420"/>
      </w:pPr>
      <w:r>
        <w:t xml:space="preserve">2. in den Fällen des § 7 Absatz 1 Nummer 2 das Schiffsregister, in dem das Schiff eingetragen ist oder zuletzt eingetragen war, und die bisherige Nationalflagge des Schiffes;</w:t>
      </w:r>
    </w:p>
    <w:p>
      <w:pPr>
        <w:ind w:left="420"/>
      </w:pPr>
      <w:r>
        <w:t xml:space="preserve">3. in den Fällen des § 7 Absatz 1 Nummer 3 neben den in Nummer 2 genannten Angaben</w:t>
      </w:r>
    </w:p>
    <w:p>
      <w:pPr>
        <w:ind w:left="780"/>
      </w:pPr>
      <w:r>
        <w:t xml:space="preserve">a) der Name und der Wohnsitz oder Sitz des Eigentümers,</w:t>
      </w:r>
    </w:p>
    <w:p>
      <w:pPr>
        <w:ind w:left="780"/>
      </w:pPr>
      <w:r>
        <w:t xml:space="preserve">b) die das Nutzungsrecht des Ausrüsters begründenden Tatsachen und die Dauer dieses Rechts und</w:t>
      </w:r>
    </w:p>
    <w:p>
      <w:pPr>
        <w:ind w:left="780"/>
      </w:pPr>
      <w:r>
        <w:t xml:space="preserve">c) die Tatsachen, aus denen sich ergibt, dass der Ausrüster zu dem Personenkreis des § 1 oder des § 2 Absatz 1 des Flaggenrechtsgesetzes gehört.</w:t>
      </w:r>
    </w:p>
    <w:p>
      <w:r>
        <w:t xml:space="preserve">(2) Die in Absatz 1 bezeichneten Angaben sind durch die Vorlage geeigneter Nachweise glaubhaft zu machen. Ferner sind vorzulegen:</w:t>
      </w:r>
    </w:p>
    <w:p>
      <w:pPr>
        <w:ind w:left="420"/>
      </w:pPr>
      <w:r>
        <w:t xml:space="preserve">1. ein Nachweis über das Ergebnis der amtlichen Vermessung,</w:t>
      </w:r>
    </w:p>
    <w:p>
      <w:pPr>
        <w:ind w:left="420"/>
      </w:pPr>
      <w:r>
        <w:t xml:space="preserve">2. in den Fällen des § 7 Absatz 1 Nummer 2 die amtliche Bestätigung der zuständigen ausländischen Behörde oder eines Konsulates des in Betracht kommenden ausländischen Staates, dass dessen Recht dem Führen der Bundesflagge nicht entgegensteht, und</w:t>
      </w:r>
    </w:p>
    <w:p>
      <w:pPr>
        <w:ind w:left="420"/>
      </w:pPr>
      <w:r>
        <w:t xml:space="preserve">3. in den Fällen des § 7 Absatz 1 Nummer 3 die Erklärung des Eigentümers, dass er dem Flaggenwechsel für die Dauer des Nutzungsrechts des Ausrüsters zustimmt.</w:t>
      </w:r>
    </w:p>
    <w:p>
      <w:r>
        <w:rPr>
          <w:color w:val="555555"/>
          <w:sz w:val="17"/>
        </w:rPr>
        <w:t xml:space="preserve">Zitiervorschlag: § 8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