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Ist vom Eigentümer eines Seeschiffes eine Person nach § 2 Absatz 4 des Flaggenrechtsgesetzes zu benennen, so hat er gegenüber der Flaggenbehörde</w:t>
      </w:r>
    </w:p>
    <w:p>
      <w:pPr>
        <w:ind w:left="420"/>
      </w:pPr>
      <w:r>
        <w:t xml:space="preserve">1. eine schriftliche Erklärung der beauftragten Person vorzulegen, in der sich diese verpflichtet, die in § 2 Absatz 4 des Flaggenrechtsgesetzes genannten Aufgaben in vollem Umfang wahrzunehmen,</w:t>
      </w:r>
    </w:p>
    <w:p>
      <w:pPr>
        <w:ind w:left="420"/>
      </w:pPr>
      <w:r>
        <w:t xml:space="preserve">2. eine aktuelle Meldebescheinigung der beauftragten Person, bei einer Gesellschaft einen Handelsregisterauszug vorzulegen,</w:t>
      </w:r>
    </w:p>
    <w:p>
      <w:pPr>
        <w:ind w:left="420"/>
      </w:pPr>
      <w:r>
        <w:t xml:space="preserve">3. die Angaben nach § 2 Absatz 1 und die Ergebnisse der amtlichen Vermessung glaubhaft zu machen und</w:t>
      </w:r>
    </w:p>
    <w:p>
      <w:pPr>
        <w:ind w:left="420"/>
      </w:pPr>
      <w:r>
        <w:t xml:space="preserve">4. soweit vorhanden, das Unterscheidungssignal mitzuteilen.</w:t>
      </w:r>
    </w:p>
    <w:p>
      <w:r>
        <w:rPr>
          <w:color w:val="555555"/>
          <w:sz w:val="17"/>
        </w:rPr>
        <w:t xml:space="preserve">Zitiervorschlag: § 5a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