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(1) Die Anzeige des Schiffsnamens und dessen Änderung ist an die Flaggenbehörde zu richten.</w:t>
      </w:r>
    </w:p>
    <w:p>
      <w:r>
        <w:t xml:space="preserve">(2) Namen und Hafen sind am Schiff in lateinischer Schrift unter Berücksichtigung der Größe des Schiffs so anzubringen, daß in Fahrt eine ausreichende Lesbarkeit durch andere Verkehrsteilnehmer bei guten Sichtverhältnissen gewährleistet ist.</w:t>
      </w:r>
    </w:p>
    <w:p>
      <w:r>
        <w:t xml:space="preserve">(3) Die IMO-Schiffsidentifikationsnummer im Sinne des § 9a Abs. 1 des Flaggenrechtsgesetzes muss deutlich und vollständig sichtbar, von anderen Markierungen am Schiffskörper abgesetzt, mindestens 200 Millimeter hoch und in einer mit der Umgebung kontrastierenden Farbe angebracht sein. Sie ist in Form eines erhabenen oder eines vertieften Reliefs, durch Aufnieten oder in einem sonstigen gleichwertigen Markierungsverfahren auszuführen, durch das sichergestellt ist, dass die IMO-Schiffsidentifikationsnummer nicht leicht unkenntlich gemacht werden kann.</w:t>
      </w:r>
    </w:p>
    <w:p>
      <w:r>
        <w:rPr>
          <w:color w:val="555555"/>
          <w:sz w:val="17"/>
        </w:rPr>
        <w:t xml:space="preserve">Zitiervorschlag: § 30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