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Außer Kraft: § 3 ist seit 01.07.2026 nicht mehr im FlRV enthalten. Angezeigt wird die letzte bekannte Fassung, Stand 10.06.2019.</w:t>
      </w:r>
    </w:p>
    <w:p>
      <w:r>
        <w:t xml:space="preserve">(1) Der Antrag auf Erteilung eines Schiffsvorzertifikats ist vom Eigentümer des Schiffs zu stellen. In dem Antrag sind anzugeben:</w:t>
      </w:r>
    </w:p>
    <w:p>
      <w:pPr>
        <w:ind w:left="420"/>
      </w:pPr>
      <w:r>
        <w:t xml:space="preserve">1. der Name des Schiffes;</w:t>
      </w:r>
    </w:p>
    <w:p>
      <w:pPr>
        <w:ind w:left="420"/>
      </w:pPr>
      <w:r>
        <w:t xml:space="preserve">1a. soweit erteilt, die in § 11 Abs. 1 Nr. 5 der Schiffsregisterordnung in der Fassung der Bekanntmachung vom 26. Mai 1994 (BGBl. I S. 1133) genannte Schiffsidentifikationsnummer (IMO-Nummer);</w:t>
      </w:r>
    </w:p>
    <w:p>
      <w:pPr>
        <w:ind w:left="420"/>
      </w:pPr>
      <w:r>
        <w:t xml:space="preserve">2. gegebenenfalls das von einem Registergericht zugeteilte Unterscheidungssignal;</w:t>
      </w:r>
    </w:p>
    <w:p>
      <w:pPr>
        <w:ind w:left="420"/>
      </w:pPr>
      <w:r>
        <w:t xml:space="preserve">3. der Fahrzeugtyp oder die Gattung und der Hauptbaustoff;</w:t>
      </w:r>
    </w:p>
    <w:p>
      <w:pPr>
        <w:ind w:left="420"/>
      </w:pPr>
      <w:r>
        <w:t xml:space="preserve">4. der Bauort sowie das Datum des Stapellaufs, falls vorhanden, andernfalls das Datum der Kiellegung oder das Baujahr, es sei denn, daß dies nur mit besonderen Schwierigkeiten zu ermitteln ist;</w:t>
      </w:r>
    </w:p>
    <w:p>
      <w:pPr>
        <w:ind w:left="420"/>
      </w:pPr>
      <w:r>
        <w:t xml:space="preserve">5. der Hafen im Sinne des § 9 des Flaggenrechtsgesetzes;</w:t>
      </w:r>
    </w:p>
    <w:p>
      <w:pPr>
        <w:ind w:left="420"/>
      </w:pPr>
      <w:r>
        <w:t xml:space="preserve">6. die Ergebnisse der amtlichen Vermessung;</w:t>
      </w:r>
    </w:p>
    <w:p>
      <w:pPr>
        <w:ind w:left="420"/>
      </w:pPr>
      <w:r>
        <w:t xml:space="preserve">7. der Name, die Staatsangehörigkeit und der Wohnsitz oder Sitz des Antragstellers; bei einer offenen Handelsgesellschaft: die Gesellschafter; bei einer Kommanditgesellschaft oder Kommanditgesellschaft auf Aktien: die persönlich haftenden Gesellschafter; in den Fällen des § 2 Absatz 1 Nummer 3 des Flaggenrechtsgesetzes: jede beauftragte Person;</w:t>
      </w:r>
    </w:p>
    <w:p>
      <w:pPr>
        <w:ind w:left="420"/>
      </w:pPr>
      <w:r>
        <w:t xml:space="preserve">8. die den Erwerb des Eigentums begründenden Tatsachen;</w:t>
      </w:r>
    </w:p>
    <w:p>
      <w:pPr>
        <w:ind w:left="420"/>
      </w:pPr>
      <w:r>
        <w:t xml:space="preserve">9. die Nationalflagge, die das Schiff zuletzt geführt hat;</w:t>
      </w:r>
    </w:p>
    <w:p>
      <w:pPr>
        <w:ind w:left="420"/>
      </w:pPr>
      <w:r>
        <w:t xml:space="preserve">10. das Schiffsregister, in dem das Schiff eingetragen ist oder zuletzt eingetragen war; im zweiten Falle auch der Zeitpunkt der Löschung;</w:t>
      </w:r>
    </w:p>
    <w:p>
      <w:pPr>
        <w:ind w:left="420"/>
      </w:pPr>
      <w:r>
        <w:t xml:space="preserve">11. in den Fällen des § 7 des Flaggenrechtsgesetzes die verbindliche Erklärung, daß das Recht zur Führung der anderen Nationalflagge enden soll;</w:t>
      </w:r>
    </w:p>
    <w:p>
      <w:pPr>
        <w:ind w:left="420"/>
      </w:pPr>
      <w:r>
        <w:t xml:space="preserve">12. die besonderen Gründe, aus denen das Schiffsvorzertifikat anstelle des Schiffszertifikats beantragt wird.</w:t>
      </w:r>
    </w:p>
    <w:p>
      <w:r>
        <w:t xml:space="preserve">(2) Die in Absatz 1 bezeichneten Angaben von Tatsachen sind glaubhaft zu machen. Der Schiffsmeßbrief oder die entsprechende Urkunde einer ausländischen Vermessungsbehörde (Absatz 1 Nr. 6) oder eine beglaubigte Abschrift oder Ablichtung dieser Urkunde, bei Schiffsneubauten eine Bescheinigung über das vorläufige amtliche Meßergebnis sind vorzulegen. In den Fällen des § 2 Absatz 1 Nummer 3 des Flaggenrechtsgesetzes ist ferner eine Bescheinigung nach § 5b Abs. 1 vorzulegen.</w:t>
      </w:r>
    </w:p>
    <w:p>
      <w:r>
        <w:rPr>
          <w:color w:val="555555"/>
          <w:sz w:val="17"/>
        </w:rPr>
        <w:t xml:space="preserve">Zitiervorschlag: § 3 FlRV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