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Anträge im Sinne dieser Verordnung sollen rechtzeitig für jedes Schiff gesondert gestellt werden. Die Flaggenbehörde hat die Anträge in elektronischer Form auf der Internetseite deutsche-flagge.de zur Verfügung zu stellen.</w:t>
      </w:r>
    </w:p>
    <w:p>
      <w:r>
        <w:t xml:space="preserve">(2) Die Flaggenbehörde kann bei der Ermittlung von Tatsachen, die glaubhaft zu machen sind, vom Antragsteller oder von Dritten eine Versicherung an Eides Statt verlangen und abnehmen.</w:t>
      </w:r>
    </w:p>
    <w:p>
      <w:r>
        <w:rPr>
          <w:color w:val="555555"/>
          <w:sz w:val="17"/>
        </w:rPr>
        <w:t xml:space="preserve">Zitiervorschlag: § 28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