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FlRV</w:t>
      </w:r>
    </w:p>
    <w:p>
      <w:r>
        <w:rPr>
          <w:color w:val="555555"/>
          <w:sz w:val="18"/>
        </w:rPr>
        <w:t xml:space="preserve">Flaggenrechtsverordnung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der Anwendung dieser Verordnung ist den völkerrechtlichen Verantwortlichkeiten der Bundesrepublik Deutschland als Flaggen- und als Registerstaat Rechnung zu tragen.</w:t>
      </w:r>
    </w:p>
    <w:p>
      <w:r>
        <w:t xml:space="preserve">(2) Diese Verordnung läßt die Verpflichtungen des Antragstellers, Kontrollen in technischen, sozialen und Verwaltungsangelegenheiten über das Schiff zuzulassen und es insbesondere den vorgeschriebenen Besichtigungen und Prüfungen zu stellen, unberührt.</w:t>
      </w:r>
    </w:p>
    <w:p>
      <w:r>
        <w:rPr>
          <w:color w:val="555555"/>
          <w:sz w:val="17"/>
        </w:rPr>
        <w:t xml:space="preserve">Zitiervorschlag: § 26 FlRV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https://recht.nulegal.eu/gesetze/FlRV/26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