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FlRV</w:t>
      </w:r>
    </w:p>
    <w:p>
      <w:r>
        <w:rPr>
          <w:color w:val="555555"/>
          <w:sz w:val="18"/>
        </w:rPr>
        <w:t xml:space="preserve">Flaggenrechtsverordnung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Ein im Internationalen Seeschiffahrtsregister eingetragenes Seeschiff wird ausgetragen</w:t>
      </w:r>
    </w:p>
    <w:p>
      <w:pPr>
        <w:ind w:left="420"/>
      </w:pPr>
      <w:r>
        <w:t xml:space="preserve">1. auf Antrag oder</w:t>
      </w:r>
    </w:p>
    <w:p>
      <w:pPr>
        <w:ind w:left="420"/>
      </w:pPr>
      <w:r>
        <w:t xml:space="preserve">2. von Amts wegen, wenn der Flaggenbehörde bekannt wird, daß die gesetzlichen Eintragungsvoraussetzungen nicht erfüllt sind.</w:t>
      </w:r>
    </w:p>
    <w:p>
      <w:r>
        <w:t xml:space="preserve">Ein Schiff wird nicht ausgetragen, wenn nur der eingetragene Name geändert wird.</w:t>
      </w:r>
    </w:p>
    <w:p>
      <w:r>
        <w:rPr>
          <w:color w:val="555555"/>
          <w:sz w:val="17"/>
        </w:rPr>
        <w:t xml:space="preserve">Zitiervorschlag: § 25 FlRV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https://recht.nulegal.eu/gesetze/FlRV/25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