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FlRV</w:t>
      </w:r>
    </w:p>
    <w:p>
      <w:r>
        <w:rPr>
          <w:color w:val="555555"/>
          <w:sz w:val="18"/>
        </w:rPr>
        <w:t xml:space="preserve">Flaggenrechtsverordnung</w:t>
      </w:r>
    </w:p>
    <w:p>
      <w:r>
        <w:rPr>
          <w:color w:val="555555"/>
          <w:sz w:val="18"/>
        </w:rPr>
        <w:t xml:space="preserve">Stand: 01.07.2026 (konsolidierte Textfassung, kein amtliches Inkrafttretensdatum)</w:t>
      </w:r>
    </w:p>
    <w:p>
      <w:r>
        <w:t xml:space="preserve">(1) Mit dem Antrag auf Eintragung in das Internationale Seeschifffahrtsregister hat der Eigentümer die Tatsachen glaubhaft zu machen, aus denen sich ein Betrieb des Schiffes im internationalen Verkehr ergibt. Ein Schiff wird im internationalen Verkehr im Sinne des § 12 Absatz 2 des Flaggenrechtsgesetzes betrieben, wenn es überwiegend zu Folgendem eingesetzt wird:</w:t>
      </w:r>
    </w:p>
    <w:p>
      <w:pPr>
        <w:ind w:left="420"/>
      </w:pPr>
      <w:r>
        <w:t xml:space="preserve">1. zur Beförderung von Personen oder Gütern im Verkehr mit oder zwischen ausländischen Häfen, innerhalb eines ausländischen Hafens oder zwischen einem ausländischen Hafen und der Hohen See oder</w:t>
      </w:r>
    </w:p>
    <w:p>
      <w:pPr>
        <w:ind w:left="420"/>
      </w:pPr>
      <w:r>
        <w:t xml:space="preserve">2. außerhalb der deutschen Hoheitsgewässer zum Schleppen, Bergen, Kabel- oder Rohrlegen, Nassbaggern, zum Aufsuchen von Bodenschätzen, zum Errichten von Bauwerken auf See oder zur Versorgung von Windenergieanlagen auf See.</w:t>
      </w:r>
    </w:p>
    <w:p>
      <w:r>
        <w:t xml:space="preserve">(2) Der Antragsteller hat alle Veränderungen der für die Eintragung erheblichen Tatsachen unverzüglich gegenüber der Flaggenbehörde anzuzeigen.</w:t>
      </w:r>
    </w:p>
    <w:p>
      <w:r>
        <w:rPr>
          <w:color w:val="555555"/>
          <w:sz w:val="17"/>
        </w:rPr>
        <w:t xml:space="preserve">Zitiervorschlag: § 24 FlRV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