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FlRV</w:t>
      </w:r>
    </w:p>
    <w:p>
      <w:r>
        <w:rPr>
          <w:color w:val="555555"/>
          <w:sz w:val="18"/>
        </w:rPr>
        <w:t xml:space="preserve">Flaggenrechtsverordnung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Für die Erteilung eines Flaggenscheins, Flaggenzertifikates oder einer Flaggenbescheinigung im Sinne des § 3 des Flaggenrechtsgesetzes ist ein Antrag bei der Flaggenbehörde zu stellen. Im Antrag sind folgende Daten anzugeben:</w:t>
      </w:r>
    </w:p>
    <w:p>
      <w:pPr>
        <w:ind w:left="420"/>
      </w:pPr>
      <w:r>
        <w:t xml:space="preserve">1. der Name des Schiffes,</w:t>
      </w:r>
    </w:p>
    <w:p>
      <w:pPr>
        <w:ind w:left="420"/>
      </w:pPr>
      <w:r>
        <w:t xml:space="preserve">2. die IMO-Schiffsidentifikationsnummer, soweit vorhanden,</w:t>
      </w:r>
    </w:p>
    <w:p>
      <w:pPr>
        <w:ind w:left="420"/>
      </w:pPr>
      <w:r>
        <w:t xml:space="preserve">3. der Fahrzeugtyp oder die Gattung und der Hauptbaustoff des Schiffes,</w:t>
      </w:r>
    </w:p>
    <w:p>
      <w:pPr>
        <w:ind w:left="420"/>
      </w:pPr>
      <w:r>
        <w:t xml:space="preserve">4. der Bauort sowie das Datum des Stapellaufs oder der Kiellegung oder das Baujahr,</w:t>
      </w:r>
    </w:p>
    <w:p>
      <w:pPr>
        <w:ind w:left="420"/>
      </w:pPr>
      <w:r>
        <w:t xml:space="preserve">5. der Hafen im Sinne von § 9 Absatz 1 Satz 2 bis 4 oder Absatz 2 des Flaggenrechtsgesetzes,</w:t>
      </w:r>
    </w:p>
    <w:p>
      <w:pPr>
        <w:ind w:left="420"/>
      </w:pPr>
      <w:r>
        <w:t xml:space="preserve">6. der Name, die Staatsangehörigkeit und der Wohnsitz oder Sitz des Antragstellers; bei Personengesellschaften die Gesellschafter und bei juristischen Personen die Geschäftsführer oder Vorstandsmitglieder,</w:t>
      </w:r>
    </w:p>
    <w:p>
      <w:pPr>
        <w:ind w:left="420"/>
      </w:pPr>
      <w:r>
        <w:t xml:space="preserve">7. der Name jeder beauftragten Person nach § 2 Absatz 4 des Flaggenrechtsgesetzes, sofern eine solche zu benennen ist.</w:t>
      </w:r>
    </w:p>
    <w:p>
      <w:r>
        <w:t xml:space="preserve">(2) Die in Absatz 1 bezeichneten Angaben sind durch die Vorlage geeigneter Nachweise glaubhaft zu machen.</w:t>
      </w:r>
    </w:p>
    <w:p>
      <w:r>
        <w:rPr>
          <w:color w:val="555555"/>
          <w:sz w:val="17"/>
        </w:rPr>
        <w:t xml:space="preserve">Zitiervorschlag: § 2 FlRV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