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FlRV</w:t>
      </w:r>
    </w:p>
    <w:p>
      <w:r>
        <w:rPr>
          <w:color w:val="555555"/>
          <w:sz w:val="18"/>
        </w:rPr>
        <w:t xml:space="preserve">Flaggenrechtsverordnung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Ausflaggungsgenehmigung darf nur erteilt werden, wenn der Ausflaggungsstaat von der Flaggenbehörde mit Zustimmung des Bundesministeriums für Verkehr nach Absatz 2 als Ausflaggungsstaat anerkannt worden ist und er das Führen seiner Nationalflagge nach Absatz 3 gestattet hat.</w:t>
      </w:r>
    </w:p>
    <w:p>
      <w:r>
        <w:t xml:space="preserve">(2) Eine Anerkennung als Ausflaggungsstaat kann erfolgen, wenn das Auswärtige Amt die außenpolitische Unbedenklichkeit bestätigt hat und der Ausflaggungsstaat</w:t>
      </w:r>
    </w:p>
    <w:p>
      <w:pPr>
        <w:ind w:left="420"/>
      </w:pPr>
      <w:r>
        <w:t xml:space="preserve">1. Vertragspartei der in der Anlage genannten internationalen Übereinkommen ist,</w:t>
      </w:r>
    </w:p>
    <w:p>
      <w:pPr>
        <w:ind w:left="420"/>
      </w:pPr>
      <w:r>
        <w:t xml:space="preserve">2. Mitglied in der Internationalen Seeschifffahrts-Organisation (International Maritime Organization – IMO) ist und</w:t>
      </w:r>
    </w:p>
    <w:p>
      <w:pPr>
        <w:ind w:left="420"/>
      </w:pPr>
      <w:r>
        <w:t xml:space="preserve">3. dem Seeschiff entweder aufgrund seines nationalen Rechts oder aufgrund einer Verpflichtungserklärung gegenüber der Flaggenbehörde unverzüglich die Befugnis zum Führen seiner Nationalflagge entzieht, sobald die Ausflaggungsgenehmigung nicht mehr wirksam ist.</w:t>
      </w:r>
    </w:p>
    <w:p>
      <w:r>
        <w:t xml:space="preserve">(3) Der künftige Flaggenstaat hat der Flaggenbehörde zu bestätigen, dass</w:t>
      </w:r>
    </w:p>
    <w:p>
      <w:pPr>
        <w:ind w:left="420"/>
      </w:pPr>
      <w:r>
        <w:t xml:space="preserve">1. er dem Führen seiner Nationalflagge durch das jeweilige Schiff für die Dauer der Ausflaggungsgenehmigung zustimmt,</w:t>
      </w:r>
    </w:p>
    <w:p>
      <w:pPr>
        <w:ind w:left="420"/>
      </w:pPr>
      <w:r>
        <w:t xml:space="preserve">2. er dem Schiff unverzüglich die Befugnis zum Führen seiner Nationalflagge entzieht, sobald die Ausflaggungsgenehmigung nicht mehr wirksam ist und</w:t>
      </w:r>
    </w:p>
    <w:p>
      <w:pPr>
        <w:ind w:left="420"/>
      </w:pPr>
      <w:r>
        <w:t xml:space="preserve">3. das Schiff einschließlich der Hypotheken im deutschen Schiffsregister eingetragen bleiben kann.</w:t>
      </w:r>
    </w:p>
    <w:p>
      <w:r>
        <w:rPr>
          <w:color w:val="555555"/>
          <w:sz w:val="17"/>
        </w:rPr>
        <w:t xml:space="preserve">Zitiervorschlag: § 19 FlRV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