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Grenzen der Seefahrt im Sinne des § 1 des Flaggenrechtsgesetzes werden bestimmt:</w:t>
      </w:r>
    </w:p>
    <w:p>
      <w:pPr>
        <w:ind w:left="420"/>
      </w:pPr>
      <w:r>
        <w:t xml:space="preserve">1. die Festland- und Inselküstenlinie bei mittlerem Hochwasser,</w:t>
      </w:r>
    </w:p>
    <w:p>
      <w:pPr>
        <w:ind w:left="420"/>
      </w:pPr>
      <w:r>
        <w:t xml:space="preserve">2. die seewärtige Begrenzung der Binnenwasserstraßen,</w:t>
      </w:r>
    </w:p>
    <w:p>
      <w:pPr>
        <w:ind w:left="420"/>
      </w:pPr>
      <w:r>
        <w:t xml:space="preserve">3. bei an der Küste gelegenen Häfen die Verbindungslinie der Molenköpfe und</w:t>
      </w:r>
    </w:p>
    <w:p>
      <w:pPr>
        <w:ind w:left="420"/>
      </w:pPr>
      <w:r>
        <w:t xml:space="preserve">4. bei Mündungen von Flüssen, die keine Binnenwasserstraßen sind, die Verbindungslinie der äußeren Uferausläufe.</w:t>
      </w:r>
    </w:p>
    <w:p>
      <w:r>
        <w:rPr>
          <w:color w:val="555555"/>
          <w:sz w:val="17"/>
        </w:rPr>
        <w:t xml:space="preserve">Zitiervorschlag: § 1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