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FlGlasTechAusbV</w:t>
      </w:r>
    </w:p>
    <w:p>
      <w:r>
        <w:rPr>
          <w:color w:val="555555"/>
          <w:sz w:val="18"/>
        </w:rPr>
        <w:t xml:space="preserve">Flachglastechnologenausbildungsverordnung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4 Absatz 1 des Berufsbildungsgesetzes, der zuletzt durch Artikel 436 Nummer 1 der Verordnung vom 31. August 2015 (BGBl. I S. 1474) geändert worden ist, verordnet das Bundesministerium für Wirtschaft und Energie im Einvernehmen mit dem Bundesministerium für Bildung und Forschung:</w:t>
      </w:r>
    </w:p>
    <w:p>
      <w:r>
        <w:rPr>
          <w:color w:val="555555"/>
          <w:sz w:val="17"/>
        </w:rPr>
        <w:t xml:space="preserve">Zitiervorschlag: Eingangsformel FlGlasTechAusbV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https://recht.nulegal.eu/gesetze/FlGlasTechAusbV/eingangsformel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