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FlGlasTechAusbV — Prüfungsbereiche von Teil 1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findet in den folgenden Prüfungsbereichen statt:</w:t>
      </w:r>
    </w:p>
    <w:p>
      <w:pPr>
        <w:ind w:left="420"/>
      </w:pPr>
      <w:r>
        <w:t xml:space="preserve">1. Manuelle Flachglasbearbeitung und</w:t>
      </w:r>
    </w:p>
    <w:p>
      <w:pPr>
        <w:ind w:left="420"/>
      </w:pPr>
      <w:r>
        <w:t xml:space="preserve">2. Flachglasveredlungsverfahren.</w:t>
      </w:r>
    </w:p>
    <w:p>
      <w:r>
        <w:rPr>
          <w:color w:val="555555"/>
          <w:sz w:val="17"/>
        </w:rPr>
        <w:t xml:space="preserve">Zitiervorschlag: § 8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