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FlGlasTechAusbV — Ziel, Aufteilung in zwei Teile und Zeitpunkt</w:t>
      </w:r>
    </w:p>
    <w:p>
      <w:r>
        <w:rPr>
          <w:color w:val="555555"/>
          <w:sz w:val="18"/>
        </w:rPr>
        <w:t xml:space="preserve">Flachglastechnologenausbildungsverordnung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Abschlussprüfung ist festzustellen, ob der Prüfling die berufliche Handlungsfähigkeit erworben hat.</w:t>
      </w:r>
    </w:p>
    <w:p>
      <w:r>
        <w:t xml:space="preserve">(2) Die Abschlussprüfung besteht aus den Teilen 1 und 2.</w:t>
      </w:r>
    </w:p>
    <w:p>
      <w:r>
        <w:t xml:space="preserve">(3) Teil 1 soll am Ende des zweiten Ausbildungsjahres durchgeführt werden, Teil 2 am Ende der Berufsausbildung.</w:t>
      </w:r>
    </w:p>
    <w:p>
      <w:r>
        <w:rPr>
          <w:color w:val="555555"/>
          <w:sz w:val="17"/>
        </w:rPr>
        <w:t xml:space="preserve">Zitiervorschlag: § 6 FlGlasTechAusbV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https://recht.nulegal.eu/gesetze/FlGlasTechAusbV/6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