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FlGlasTechAusbV — Gegenstand der Berufsausbildung und Ausbildungsrahmenplan</w:t>
      </w:r>
    </w:p>
    <w:p>
      <w:r>
        <w:rPr>
          <w:color w:val="555555"/>
          <w:sz w:val="18"/>
        </w:rPr>
        <w:t xml:space="preserve">Flachglastechnologenausbildungsverordnung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FlGlasTechAusbV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https://recht.nulegal.eu/gesetze/FlGlasTechAusbV/3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