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FlGlasTechAusbV — Inkrafttreten, Außerkrafttreten</w:t>
      </w:r>
    </w:p>
    <w:p>
      <w:r>
        <w:rPr>
          <w:color w:val="555555"/>
          <w:sz w:val="18"/>
        </w:rPr>
        <w:t xml:space="preserve">Flachglastechnologenausbildungsverordnung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2018 in Kraft. Gleichzeitig tritt die Flachglasmechaniker-Ausbildungsverordnung vom 7. Januar 1991 (BGBl. I S. 38) außer Kraft.</w:t>
      </w:r>
    </w:p>
    <w:p>
      <w:r>
        <w:rPr>
          <w:color w:val="555555"/>
          <w:sz w:val="17"/>
        </w:rPr>
        <w:t xml:space="preserve">Zitiervorschlag: § 17 FlGlasTechAusbV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https://recht.nulegal.eu/gesetze/FlGlasTechAusbV/17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