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FlGlasTechAusbV — Prüfungsbereich Technologie der Flachglasbearbeitung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Technologie der Flachglasbearbeitung soll der Prüfling nachweisen, dass er in der Lage ist,</w:t>
      </w:r>
    </w:p>
    <w:p>
      <w:pPr>
        <w:ind w:left="420"/>
      </w:pPr>
      <w:r>
        <w:t xml:space="preserve">1. Verfahren zum Laminieren und Kleben von Flachglas und die Einhaltung der Unfallverhütungsvorschriften bei diesen Verfahren zu beschreiben,</w:t>
      </w:r>
    </w:p>
    <w:p>
      <w:pPr>
        <w:ind w:left="420"/>
      </w:pPr>
      <w:r>
        <w:t xml:space="preserve">2. Verfahren zum Vorspannen von Flachgläsern zu beschreiben,</w:t>
      </w:r>
    </w:p>
    <w:p>
      <w:pPr>
        <w:ind w:left="420"/>
      </w:pPr>
      <w:r>
        <w:t xml:space="preserve">3. Umweltschutzbestimmungen zu erläutern und die Sicherheit von Betriebsmitteln zu beurteilen,</w:t>
      </w:r>
    </w:p>
    <w:p>
      <w:pPr>
        <w:ind w:left="420"/>
      </w:pPr>
      <w:r>
        <w:t xml:space="preserve">4. Zeichnungen auszuwerten,</w:t>
      </w:r>
    </w:p>
    <w:p>
      <w:pPr>
        <w:ind w:left="420"/>
      </w:pPr>
      <w:r>
        <w:t xml:space="preserve">5. Programmparameter zur Maschinensteuerung anzupassen und</w:t>
      </w:r>
    </w:p>
    <w:p>
      <w:pPr>
        <w:ind w:left="420"/>
      </w:pPr>
      <w:r>
        <w:t xml:space="preserve">6. die thermische Behandlung von Flachglas darzustellen.</w:t>
      </w:r>
    </w:p>
    <w:p>
      <w:r>
        <w:t xml:space="preserve">(2) Der Prüfling soll Aufgaben schriftlich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14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