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FlGZV (Brandenburg)</w:t>
      </w:r>
    </w:p>
    <w:p>
      <w:r>
        <w:rPr>
          <w:color w:val="555555"/>
          <w:sz w:val="18"/>
        </w:rPr>
        <w:t xml:space="preserve">Verordnung über Zuständigkeiten nach dem Fleischgesetz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</w:t>
      </w:r>
    </w:p>
    <w:p>
      <w:r>
        <w:t xml:space="preserve">tritt mit Wirkung vom 1. November 2008 in Kraft. Gleichzeitig tritt die</w:t>
      </w:r>
    </w:p>
    <w:p>
      <w:r>
        <w:t xml:space="preserve">Verordnung über die Zuständigkeiten nach der Vierten Vieh- und</w:t>
      </w:r>
    </w:p>
    <w:p>
      <w:r>
        <w:t xml:space="preserve">Fleischgesetz-Durchführungsverordnung vom 8. Juli 1996 (GVBl. II S. 570) außer</w:t>
      </w:r>
    </w:p>
    <w:p>
      <w:r>
        <w:t xml:space="preserve">Kraft.</w:t>
      </w:r>
    </w:p>
    <w:p>
      <w:r>
        <w:t xml:space="preserve">Potsdam, den 26. November 2009</w:t>
      </w:r>
    </w:p>
    <w:p>
      <w:r>
        <w:t xml:space="preserve">Die</w:t>
      </w:r>
    </w:p>
    <w:p>
      <w:r>
        <w:t xml:space="preserve">Landesregierung</w:t>
      </w:r>
    </w:p>
    <w:p>
      <w:r>
        <w:t xml:space="preserve">des Landes Brandenburg</w:t>
      </w:r>
    </w:p>
    <w:p>
      <w:r>
        <w:t xml:space="preserve">Der</w:t>
      </w:r>
    </w:p>
    <w:p>
      <w:r>
        <w:t xml:space="preserve">Ministerpräsident</w:t>
      </w:r>
    </w:p>
    <w:p>
      <w:r>
        <w:t xml:space="preserve">Matthias Platzeck</w:t>
      </w:r>
    </w:p>
    <w:p>
      <w:r>
        <w:t xml:space="preserve">Der Minister für Ländliche Entwicklung,</w:t>
      </w:r>
    </w:p>
    <w:p>
      <w:r>
        <w:t xml:space="preserve">Umwelt und 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3 FlGZV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https://recht.nulegal.eu/gesetze/FlGZV/3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