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FlGZV (Brandenburg)</w:t>
      </w:r>
    </w:p>
    <w:p>
      <w:r>
        <w:rPr>
          <w:color w:val="555555"/>
          <w:sz w:val="18"/>
        </w:rPr>
        <w:t xml:space="preserve">Verordnung über Zuständigkeiten nach dem Fleischgesetz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 für die</w:t>
      </w:r>
    </w:p>
    <w:p>
      <w:r>
        <w:t xml:space="preserve">Verfolgung und Ahndung von Ordnungswidrigkeiten nach § 16 des Fleischgesetzes</w:t>
      </w:r>
    </w:p>
    <w:p>
      <w:r>
        <w:t xml:space="preserve">ist das Landesamt für Verbraucherschutz, Landwirtschaft und Flurneuordnung im</w:t>
      </w:r>
    </w:p>
    <w:p>
      <w:r>
        <w:t xml:space="preserve">Rahmen der Zuständigkeit nach § 1.</w:t>
      </w:r>
    </w:p>
    <w:p>
      <w:r>
        <w:rPr>
          <w:color w:val="555555"/>
          <w:sz w:val="17"/>
        </w:rPr>
        <w:t xml:space="preserve">Zitiervorschlag: § 2 FlGZV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