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FlGGebV</w:t>
      </w:r>
    </w:p>
    <w:p>
      <w:r>
        <w:rPr>
          <w:color w:val="555555"/>
          <w:sz w:val="18"/>
        </w:rPr>
        <w:t xml:space="preserve">Fleischgesetz-Gebührenverordnung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14 Absatz 2 Satz 2 des Fleischgesetzes vom 9. April 2008 (BGBl. I S. 714) in Verbindung mit dem 2. Abschnitt des Verwaltungskostengesetzes vom 23. Juni 1970 (BGBl. I S. 821) verordnet das Bundesministerium für Ernährung, Landwirtschaft und Verbraucherschutz im Einvernehmen mit dem Bundesministerium der Finanzen:</w:t>
      </w:r>
    </w:p>
    <w:p>
      <w:r>
        <w:rPr>
          <w:color w:val="555555"/>
          <w:sz w:val="17"/>
        </w:rPr>
        <w:t xml:space="preserve">Zitiervorschlag: Eingangsformel FlGGebV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