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FlGGebV — Inkrafttreten</w:t>
      </w:r>
    </w:p>
    <w:p>
      <w:r>
        <w:rPr>
          <w:color w:val="555555"/>
          <w:sz w:val="18"/>
        </w:rPr>
        <w:t xml:space="preserve">Fleischgesetz-Gebührenverordnung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FlGGebV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