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FlGGebV — Erhebung von Gebühren</w:t>
      </w:r>
    </w:p>
    <w:p>
      <w:r>
        <w:rPr>
          <w:color w:val="555555"/>
          <w:sz w:val="18"/>
        </w:rPr>
        <w:t xml:space="preserve">Fleischgesetz-Gebührenverordnung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Bundesanstalt für Landwirtschaft und Ernährung erhebt gegenüber den Klassifizierungsunternehmen für individuell zurechenbare öffentliche Leistungen nach den §§ 3 und 6 Absatz 1 und 3 des Fleischgesetzes Gebühren nach dieser Verordnung.</w:t>
      </w:r>
    </w:p>
    <w:p>
      <w:r>
        <w:t xml:space="preserve">(2) Die gebührenpflichtigen individuell zurechenbaren öffentlichen Leistungen und die Gebührensätze ergeben sich aus dem Gebührenverzeichnis der Anlage zu dieser Verordnung.</w:t>
      </w:r>
    </w:p>
    <w:p>
      <w:r>
        <w:rPr>
          <w:color w:val="555555"/>
          <w:sz w:val="17"/>
        </w:rPr>
        <w:t xml:space="preserve">Zitiervorschlag: § 1 FlGGebV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