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FlGDV 1 — Preismeldepflicht</w:t>
      </w:r>
    </w:p>
    <w:p>
      <w:r>
        <w:rPr>
          <w:color w:val="555555"/>
          <w:sz w:val="18"/>
        </w:rPr>
        <w:t xml:space="preserve">1. Fleischgesetz-Durchführungsverordnung</w:t>
      </w:r>
    </w:p>
    <w:p>
      <w:r>
        <w:rPr>
          <w:color w:val="555555"/>
          <w:sz w:val="18"/>
        </w:rPr>
        <w:t xml:space="preserve">Stand: 22.03.2022 (konsolidierte Textfassung, kein amtliches Inkrafttretensdatum)</w:t>
      </w:r>
    </w:p>
    <w:p>
      <w:r>
        <w:t xml:space="preserve">(1) Schlachtbetriebe haben für Schlachtkörper von Rindern, Schweinen und Schafen nach Maßgabe der folgenden Vorschriften Meldungen zu erstatten.</w:t>
      </w:r>
    </w:p>
    <w:p>
      <w:r>
        <w:t xml:space="preserve">(2) Schlachtkörper, die nach den lebensmittelrechtlichen Vorschriften als ganz oder teilweise untauglich für den menschlichen Genuss befunden worden sind, sowie Schlachtkörper im Sinne des Anhanges III Abschnitt 1 Kapitel IV Nummer 2 Buchstabe c oder Kapitel VI der Verordnung (EG) Nr. 853/2004 des Europäischen Parlaments und des Rates vom 29. April 2004 mit spezifischen Hygienevorschriften für Lebensmittel tierischen Ursprungs (ABl. L 139 vom 30.4.2004, S. 55), die zuletzt durch die Delegierte Verordnung (EU) 2020/2192 (ABl. L 434 vom 23.12.2020, S. 10) geändert worden ist, von notgeschlachteten Tieren dürfen nicht in die Preismeldung einbezogen werden, wenn bei ihnen ein niedrigerer Preis als bei vollständig für den menschlichen Genuss tauglichen Schlachtkörpern gleicher Handelsklasse ausbezahlt wird.</w:t>
      </w:r>
    </w:p>
    <w:p>
      <w:r>
        <w:rPr>
          <w:color w:val="555555"/>
          <w:sz w:val="17"/>
        </w:rPr>
        <w:t xml:space="preserve">Zitiervorschlag: § 4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