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FlGDV 1 — Datenverarbeitung und Datenübermittlung</w:t>
      </w:r>
    </w:p>
    <w:p>
      <w:r>
        <w:rPr>
          <w:color w:val="555555"/>
          <w:sz w:val="18"/>
        </w:rPr>
        <w:t xml:space="preserve">1. Fleischgesetz-Durchführungsverordnung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Zum Zweck der Durchführung von Kontrollen verarbeitet und übermittelt die zuständige Behörde die Daten nach Abschnitt III der Anlage des Marktorganisationsgesetzes.</w:t>
      </w:r>
    </w:p>
    <w:p>
      <w:r>
        <w:rPr>
          <w:color w:val="555555"/>
          <w:sz w:val="17"/>
        </w:rPr>
        <w:t xml:space="preserve">Zitiervorschlag: § 3a FlGDV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https://recht.nulegal.eu/gesetze/FlGDV%201/3a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