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FlGDV 1 — Schlachtnummer</w:t>
      </w:r>
    </w:p>
    <w:p>
      <w:r>
        <w:rPr>
          <w:color w:val="555555"/>
          <w:sz w:val="18"/>
        </w:rPr>
        <w:t xml:space="preserve">1. Fleischgesetz-Durchführungsverordnung</w:t>
      </w:r>
    </w:p>
    <w:p>
      <w:r>
        <w:rPr>
          <w:color w:val="555555"/>
          <w:sz w:val="18"/>
        </w:rPr>
        <w:t xml:space="preserve">Stand: 10.06.2019 (konsolidierte Textfassung, kein amtliches Inkrafttretensdatum)</w:t>
      </w:r>
    </w:p>
    <w:p>
      <w:r>
        <w:t xml:space="preserve">(1) Schlachtbetriebe sind verpflichtet, die Schlachtkörper von Rindern, Schweinen und Schafen unmittelbar nach der Schlachtung des jeweiligen Tieres spätestens zum Zeitpunkt der Verwiegung und Klassifizierung mit einer wöchentlich fortlaufenden Schlachtnummer so zu kennzeichnen, dass der Lieferant der Schlachttiere jederzeit festgestellt werden kann.</w:t>
      </w:r>
    </w:p>
    <w:p>
      <w:r>
        <w:t xml:space="preserve">(2) Die Kennzeichnung ist deutlich lesbar auf beiden Körperhälften anzubringen und bis zur Zerlegung zu belassen. Abweichend von Satz 1 ist die Kennzeichnung bei Rindern auf jedem Viertel anzubringen.</w:t>
      </w:r>
    </w:p>
    <w:p>
      <w:r>
        <w:rPr>
          <w:color w:val="555555"/>
          <w:sz w:val="17"/>
        </w:rPr>
        <w:t xml:space="preserve">Zitiervorschlag: § 1 FlGDV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