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FlG — Einziehung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Ordnungswidrigkeit nach § 16 Abs. 1 begangen worden, so können Gegenstände, auf die sich die Ordnungswidrigkeit bezieht, und Gegenstände, die zu ihrer Begehung oder Vorbereitung gebraucht worden oder bestimmt gewesen sind, 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17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