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FlG — Auskunftspflichten</w:t>
      </w:r>
    </w:p>
    <w:p>
      <w:r>
        <w:rPr>
          <w:color w:val="555555"/>
          <w:sz w:val="18"/>
        </w:rPr>
        <w:t xml:space="preserve">Fleischgesetz</w:t>
      </w:r>
    </w:p>
    <w:p>
      <w:r>
        <w:rPr>
          <w:color w:val="555555"/>
          <w:sz w:val="18"/>
        </w:rPr>
        <w:t xml:space="preserve">Stand: 10.06.2019 (konsolidierte Textfassung, kein amtliches Inkrafttretensdatum)</w:t>
      </w:r>
    </w:p>
    <w:p>
      <w:r>
        <w:t xml:space="preserve">(1) Ein Klassifizierungsunternehmen ist verpflichtet, dem Lieferanten eines Schlachttieres auf Antrag, der innerhalb von drei Monaten nach der Schlachtung des gelieferten Tieres zu stellen ist, eine schriftliche oder elektronische Auskunft über die Schlachtnummer, das Schlachtgewicht und das Klassifizierungsergebnis des Schlachttieres zu geben. Die Verpflichtung nach Satz 1 erstreckt sich bei Schweinen auch auf den Muskelfleischanteil.</w:t>
      </w:r>
    </w:p>
    <w:p>
      <w:r>
        <w:t xml:space="preserve">(2) Die Schlachtbetriebe sind verpflichtet,</w:t>
      </w:r>
    </w:p>
    <w:p>
      <w:pPr>
        <w:ind w:left="420"/>
      </w:pPr>
      <w:r>
        <w:t xml:space="preserve">1. den Klassifizierungsunternehmen die für die Zuordnung der Schlachttiere zu den Lieferanten erforderlichen Informationen zur Verfügung zu stellen und</w:t>
      </w:r>
    </w:p>
    <w:p>
      <w:pPr>
        <w:ind w:left="420"/>
      </w:pPr>
      <w:r>
        <w:t xml:space="preserve">2. den Lieferanten der Schlachttiere hinsichtlich der von diesen gelieferten Tiere Auskunft über die Schlachtnummer, das Schlachtgewicht und den gemeldeten Preis zu geben.</w:t>
      </w:r>
    </w:p>
    <w:p>
      <w:r>
        <w:t xml:space="preserve">(3) Das Bundesministerium wird ermächtigt, durch Rechtsverordnung mit Zustimmung des Bundesrates die näheren Anforderungen an die Informationen nach Absatz 1 oder 2 einschließlich der Art und Weise ihrer Erteilung zu regeln.</w:t>
      </w:r>
    </w:p>
    <w:p>
      <w:r>
        <w:rPr>
          <w:color w:val="555555"/>
          <w:sz w:val="17"/>
        </w:rPr>
        <w:t xml:space="preserve">Zitiervorschlag: § 10 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