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FlErwV — Vorbereitung des Flächenerwerbs</w:t>
      </w:r>
    </w:p>
    <w:p>
      <w:r>
        <w:rPr>
          <w:color w:val="555555"/>
          <w:sz w:val="18"/>
        </w:rPr>
        <w:t xml:space="preserve">Flächenerwerbsverordnung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Privatisierungsstelle überprüft die Berechtigung des Kaufbewerbers und den Umfang seiner Berechtigung. Sie schlägt die zu erwerbenden Flächen vor und ermittelt den Kaufpreis nach Maßgabe der §§ 5 und 6.</w:t>
      </w:r>
    </w:p>
    <w:p>
      <w:r>
        <w:t xml:space="preserve">(2) In den Fällen des § 3 Abs. 5 des Ausgleichsleistungsgesetzes teilt die Privatisierungsstelle dem betroffenen Pächter die für den Erwerb benannten Flächen mit und setzt ihm die Frist nach § 3 Abs. 5 Satz 7 des Ausgleichsleistungsgesetzes. Diese Frist gilt auch für die Erklärung des Pächters nach § 3 Abs. 6 Satz 2 des Ausgleichsleistungsgesetzes. Der Pächter ist darauf hinzuweisen, daß seine Erklärung nach § 3 Abs. 5 Satz 7 des Ausgleichsleistungsgesetzes sowie eine Verweigerung der Zustimmung nach § 3 Abs. 6 Satz 2 des Ausgleichsleistungsgesetzes nur berücksichtigt werden, wenn er vor Fristablauf den Kauf ihm zustehender Flächen beantragt.</w:t>
      </w:r>
    </w:p>
    <w:p>
      <w:r>
        <w:t xml:space="preserve">(3) Die Privatisierungsstelle leitet ihr begründetes Prüfungsergebnis der zuständigen Landesbehörde zu. Diese kann sich innerhalb von zwei Monaten hierzu äußern.</w:t>
      </w:r>
    </w:p>
    <w:p>
      <w:r>
        <w:rPr>
          <w:color w:val="555555"/>
          <w:sz w:val="17"/>
        </w:rPr>
        <w:t xml:space="preserve">Zitiervorschlag: § 9 FlErwV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https://recht.nulegal.eu/gesetze/FlErwV/9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