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FlErwV — Erwerbsmöglichkeit von Waldflächen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Berechtigte nach § 3 Abs. 8 Satz 1 des Ausgleichsleistungsgesetzes sind natürliche Personen, die land- und forstwirtschaftliches Vermögen durch Zwangsmaßnahmen nach § 1 Abs. 1, 3, 6, 7 oder 8 Buchstabe a des Vermögensgesetzes verloren haben und diese nicht zurückerhalten können, oder deren Erben und Erbeserben.</w:t>
      </w:r>
    </w:p>
    <w:p>
      <w:r>
        <w:t xml:space="preserve">(2) Soweit Erbengemeinschaften nach § 3 Abs. 8 Satz 1 des Ausgleichsleistungsgesetzes berechtigt sind, kann die Erwerbsmöglichkeit auf ein Mitglied übertragen oder auf mehrere Mitglieder aufgeteilt werden. § 1 Abs. 4 gilt entsprechend.</w:t>
      </w:r>
    </w:p>
    <w:p>
      <w:r>
        <w:t xml:space="preserve">(3) Berechtigte haben Vorrang vor sonstigen Bewerbern. Berechtigte, die Waldflächen nach § 3 Abs. 5 des Ausgleichsleistungsgesetzes erwerben wollen, sind, vorbehaltlich der Regelung des Absatzes 6, gegenüber Berechtigten nach § 3 Abs. 8 des Ausgleichsleistungsgesetzes vorrangig zu berücksichtigen. Bewerben sich mehrere Berechtigte nach § 3 Absatz 5 des Ausgleichsleistungsgesetzes um dieselbe Fläche, ist Absatz 5 entsprechend anzuwenden.</w:t>
      </w:r>
    </w:p>
    <w:p>
      <w:r>
        <w:t xml:space="preserve">(4) Berechtigte nach § 3 Absatz 5 des Ausgleichsleistungsgesetzes, deren Ausgleichsleistung nach § 2 Absatz 1 Satz 1 des Entschädigungsgesetzes nicht ausreicht, um eine ausgeschriebene Waldfläche zu erwerben, können diese unter Einsatz ihrer Ausgleichsleistung im Übrigen nach § 3 Absatz 8 des Ausgleichsleistungsgesetzes erwerben (Kombinationsberechtigte). In diesem Fall haben sie Vorrang vor Berechtigten nach § 3 Absatz 8 des Ausgleichsleistungsgesetzes. Bewerben sich mehrere Kombinationsberechtigte um dieselbe Waldfläche, so hat der Berechtigte mit der höchsten einzusetzenden Ausgleichsleistung Vorrang.</w:t>
      </w:r>
    </w:p>
    <w:p>
      <w:r>
        <w:t xml:space="preserve">(5) Bewerben sich mehrere Berechtigte nach § 3 Absatz 8 des Ausgleichsleistungsgesetzes, trifft die Privatisierungsstelle ihre Entscheidung nach den folgenden Kriterien und in der genannten Rang- und Reihenfolge:</w:t>
      </w:r>
    </w:p>
    <w:p>
      <w:pPr>
        <w:ind w:left="420"/>
      </w:pPr>
      <w:r>
        <w:t xml:space="preserve">1. die Waldflächen stammen überwiegend aus dem ehemaligen Eigentum eines Berechtigten;</w:t>
      </w:r>
    </w:p>
    <w:p>
      <w:pPr>
        <w:ind w:left="420"/>
      </w:pPr>
      <w:r>
        <w:t xml:space="preserve">2. ein Berechtigter hat im Gegensatz zu dem oder den Mitbewerbern noch keine forstwirtschaftlichen Flächen begünstigt erworben;</w:t>
      </w:r>
    </w:p>
    <w:p>
      <w:pPr>
        <w:ind w:left="420"/>
      </w:pPr>
      <w:r>
        <w:t xml:space="preserve">3. ein Berechtigter hat im Verhältnis zum Umfang der ihm enteigneten land- und forstwirtschaftlichen Flächen weniger forstwirtschaftliche Flächen als der oder die Mitbewerber begünstigt erworben;</w:t>
      </w:r>
    </w:p>
    <w:p>
      <w:pPr>
        <w:ind w:left="420"/>
      </w:pPr>
      <w:r>
        <w:t xml:space="preserve">4. die Waldflächen liegen in enger räumlicher Nähe zum ehemaligen Eigentum.</w:t>
      </w:r>
    </w:p>
    <w:p>
      <w:r>
        <w:t xml:space="preserve">(6) Es kann weder die Bildung bestimmter Verkaufseinheiten noch die Zerteilung forstbetrieblich sinnvoll zusammengehörender Waldflächen verlangt werden.</w:t>
      </w:r>
    </w:p>
    <w:p>
      <w:r>
        <w:rPr>
          <w:color w:val="555555"/>
          <w:sz w:val="17"/>
        </w:rPr>
        <w:t xml:space="preserve">Zitiervorschlag: § 4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