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FlErwV — Inkrafttreten</w:t>
      </w:r>
    </w:p>
    <w:p>
      <w:r>
        <w:rPr>
          <w:color w:val="555555"/>
          <w:sz w:val="18"/>
        </w:rPr>
        <w:t xml:space="preserve">Flächenerwerbsverordnung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16 FlErwV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https://recht.nulegal.eu/gesetze/FlErwV/16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