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FlErwV — Allgemeines</w:t>
      </w:r>
    </w:p>
    <w:p>
      <w:r>
        <w:rPr>
          <w:color w:val="555555"/>
          <w:sz w:val="18"/>
        </w:rPr>
        <w:t xml:space="preserve">Flächenerwerbsverordnung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Berechtigter ist, wer auf Grund des § 3 des Ausgleichsleistungsgesetzes oder des § 1 Abs. 1 Satz 6 des Entschädigungsgesetzes in Verbindung mit dieser Rechtsverordnung land- und forstwirtschaftliche Flächen erwerben kann.</w:t>
      </w:r>
    </w:p>
    <w:p>
      <w:r>
        <w:t xml:space="preserve">(2) Flächen im Sinne des § 3 Abs. 1, 5, 8 und 9 des Ausgleichsleistungsgesetzes sind land- und forstwirtschaftliche Flächen einschließlich Öd- und Unland, die der Treuhandanstalt nach der 3. Durchführungsverordnung zum Treuhandgesetz vom 29. August 1990 (GBl. I S. 1333) zugewiesen worden sind, einschließlich der Flächen der ehemals volkseigenen Güter, deren Vermögen der Treuhandanstalt nach § 1 der 3. Durchführungsverordnung zum Treuhandgesetz zur treuhänderischen Verwaltung übertragen worden ist. Ausgenommen sind Flächen, die der Restitution nach § 3 oder 6 des Vermögensgesetzes oder nach § 11 des Vermögenszuordnungsgesetzes unterliegen oder unterliegen können, es sei denn, der Antrag erscheint offensichtlich unbegründet oder der Restitutionsberechtigte erwirbt die Flächen gemäß § 3 des Ausgleichsleistungsgesetzes. Als landwirtschaftliche Flächen gelten auch Gartenbauflächen, Weinbauflächen und Flächen der Binnenfischerei. Flächen, die für andere als land- oder forstwirtschaftliche Zwecke genutzt werden oder die für eine andere Nutzung vorgesehen sind, stehen für den Flächenerwerb nach § 3 des Ausgleichsleistungsgesetzes nicht zur Verfügung. Flächen sind für eine andere Nutzung vorgesehen, wenn vor Abschluß des Kaufvertrages für sie nach dem Flächennutzungsplan eine andere als land- oder forstwirtschaftliche Nutzung dargestellt ist oder sie nach § 30, 33 oder 34 des Baugesetzbuchs oder nach § 7 des Maßnahmengesetzes zum Baugesetzbuch anders als land- oder forstwirtschaftlich genutzt werden können; das gleiche gilt, wenn die Gemeinde beschlossen hat, einen Bauleitplan, eine Satzung über den Vorhaben- und Erschließungsplan oder eine sonstige städtebauliche Satzung aufzustellen und der künftige Bauleitplan, die Satzung über den Vorhaben- und Erschließungsplan oder die künftige sonstige städtebauliche Satzung eine andere als land- oder forstwirtschaftliche Nutzung darstellt, festsetzt oder bezweckt. Ebenso stehen Flächen für einen Erwerb nicht zur Verfügung, die sonstigen außerland- oder außerforstwirtschaftlichen Zwecken dienen, soweit vor Abschluß des Kaufvertrages eine Umwidmung erfolgt ist oder ein Planungs- oder Zulassungsverfahren mit dem Ziel einer Umwidmung eingeleitet worden ist. Außerland- und außerforstwirtschaftliche Zwecke im Sinne dieser Vorschrift sind auch gegeben, wenn Flächen als Naturschutzflächen</w:t>
      </w:r>
    </w:p>
    <w:p>
      <w:pPr>
        <w:ind w:left="420"/>
      </w:pPr>
      <w:r>
        <w:t xml:space="preserve">a) festgesetzt oder einstweilig gesichert sind oder das Unterschutzstellungsverfahren förmlich eingeleitet ist und</w:t>
      </w:r>
    </w:p>
    <w:p>
      <w:pPr>
        <w:ind w:left="420"/>
      </w:pPr>
      <w:r>
        <w:t xml:space="preserve">b) ihre land- und forstwirtschaftliche Nutzung ausgeschlossen ist oder ausgeschlossen werden soll.</w:t>
      </w:r>
    </w:p>
    <w:p>
      <w:r>
        <w:t xml:space="preserve">(3) Hauptwohnsitz im Sinne dieser Verordnung ist der Lebensmittelpunkt des Berechtigten.</w:t>
      </w:r>
    </w:p>
    <w:p>
      <w:r>
        <w:t xml:space="preserve">(4) Wiedereinrichter ist auch der Erbe und Erbeserbe des ursprünglichen Betriebsinhabers. Diese können die Flächenerwerbsmöglichkeit an den Ehegatten, den Lebenspartner, sowie auf die in § 1924 Absatz 1, § 1925 Absatz 1, § 1926 Absatz 1 und § 1928 Absatz 1 des Bürgerlichen Gesetzbuchs genannten Personen übertragen. Die Übertragung ist unter Bezugnahme auf diese Vorschrift unwiderruflich und öffentlich beglaubigt zu erklären. Satz 3 gilt auch für die Übertragung nach § 3 Abs. 5 Satz 8 und 9 des Ausgleichsleistungsgesetzes.</w:t>
      </w:r>
    </w:p>
    <w:p>
      <w:r>
        <w:t xml:space="preserve">(5) Als juristische Person des Privatrechts im Sinne des § 3 des Ausgleichsleistungsgesetzes gilt auch eine Kommanditgesellschaft, bei der kein persönlich haftender Gesellschafter eine natürliche Person ist.</w:t>
      </w:r>
    </w:p>
    <w:p>
      <w:r>
        <w:rPr>
          <w:color w:val="555555"/>
          <w:sz w:val="17"/>
        </w:rPr>
        <w:t xml:space="preserve">Zitiervorschlag: § 1 FlErwV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https://recht.nulegal.eu/gesetze/FlErwV/1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