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FlüHGDV 2 — Personenkreis</w:t>
      </w:r>
    </w:p>
    <w:p>
      <w:r>
        <w:rPr>
          <w:color w:val="555555"/>
          <w:sz w:val="18"/>
        </w:rPr>
        <w:t xml:space="preserve">Zweite Verordnung zur Durchführung des Gesetzes über Hilfsmaßnahmen für Deutsche aus der sowjetischen Besatzungszone Deutschlands und dem sowjetisch besetzten Sektor von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Leistungen nach Maßgabe des § 2 erhalten auf Antrag deutsche Staatsangehörige und deutsche Volkszugehörige, die</w:t>
      </w:r>
    </w:p>
    <w:p>
      <w:pPr>
        <w:ind w:left="420"/>
      </w:pPr>
      <w:r>
        <w:t xml:space="preserve">1. im sowjetisch besetzten Sektor von Berlin oder in einer Gemeinde, die an Berlin unmittelbar angrenzt, Schäden im Sinne der §§ 3, 10 oder 18 des Gesetzes erlitten haben,</w:t>
      </w:r>
    </w:p>
    <w:p>
      <w:pPr>
        <w:ind w:left="420"/>
      </w:pPr>
      <w:r>
        <w:t xml:space="preserve">2. im Zeitpunkt des Schadenseintritts ihren Wohnsitz oder ständigen Aufenthalt in Berlin (West) hatten und</w:t>
      </w:r>
    </w:p>
    <w:p>
      <w:pPr>
        <w:ind w:left="420"/>
      </w:pPr>
      <w:r>
        <w:t xml:space="preserve">3. sich ständig im Geltungsbereich des Gesetzes aufhalten.</w:t>
      </w:r>
    </w:p>
    <w:p>
      <w:r>
        <w:t xml:space="preserve">Für den sowjetisch besetzten Sektor von Berlin und die an Berlin unmittelbar angrenzenden Gemeinden gilt der Gebietsstand im Zeitpunkt des Inkrafttretens dieser Verordnung.</w:t>
      </w:r>
    </w:p>
    <w:p>
      <w:r>
        <w:t xml:space="preserve">(2) § 1 Abs. 1 Satz 2 und § 2 des Gesetzes sowie § 6 des Bundesvertriebenengesetzes sind anzuwenden.</w:t>
      </w:r>
    </w:p>
    <w:p>
      <w:r>
        <w:rPr>
          <w:color w:val="555555"/>
          <w:sz w:val="17"/>
        </w:rPr>
        <w:t xml:space="preserve">Zitiervorschlag: § 1 FlüHGDV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https://recht.nulegal.eu/gesetze/Fl%C3%BCHGDV%202/1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