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FlüHG — Ermächtigung</w:t>
      </w:r>
    </w:p>
    <w:p>
      <w:r>
        <w:rPr>
          <w:color w:val="555555"/>
          <w:sz w:val="18"/>
        </w:rPr>
        <w:t xml:space="preserve">Flüchtlingshilfegesetz</w:t>
      </w:r>
    </w:p>
    <w:p>
      <w:r>
        <w:rPr>
          <w:color w:val="555555"/>
          <w:sz w:val="18"/>
        </w:rPr>
        <w:t xml:space="preserve">Stand: 10.06.2019 (konsolidierte Textfassung, kein amtliches Inkrafttretensdatum)</w:t>
      </w:r>
    </w:p>
    <w:p>
      <w:r>
        <w:t xml:space="preserve">Zur Milderung von Härten kann die Bundesregierung mit Zustimmung des Bundesrates durch Rechtsverordnung bestimmen, daß in diesem Gesetz vorgesehene Leistungen und Vergünstigungen ganz oder teilweise auch zugunsten von Personen gewährt werden, die im Schadensgebiet in einer infolge der sowjetischen Besetzung durchschnittenen Gemeinde oder in einer an eine solche oder an den Geltungsbereich des Gesetzes unmittelbar angrenzenden Gemeinde Schäden im Sinne der §§ 3, 10 oder 18 erlitten haben und im Zeitpunkt des Schadenseintritts ihren Wohnsitz oder ständigen Aufenthalt im Geltungsbereich des Gesetzes in der durchschnittenen Gemeinde oder einer Gemeinde hatten, die an die ganz oder teilweise im Schadensgebiet liegende Gemeinde unmittelbar angrenzt, in der der Schaden eingetreten ist. Hierbei können weitere Aufenthaltsvoraussetzungen entsprechend der vergleichbaren Regelung in der zu § 301 des Lastenausgleichsgesetzes ergangenen Rechtsverordnung festgelegt werden. Die sonstigen Voraussetzungen des Gesetzes müssen erfüllt sein.</w:t>
      </w:r>
    </w:p>
    <w:p>
      <w:r>
        <w:rPr>
          <w:color w:val="555555"/>
          <w:sz w:val="17"/>
        </w:rPr>
        <w:t xml:space="preserve">Zitiervorschlag: § 23 FlüHG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https://recht.nulegal.eu/gesetze/Fl%C3%BCHG/23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