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FlüHG — Ausschließungsgründe</w:t>
      </w:r>
    </w:p>
    <w:p>
      <w:r>
        <w:rPr>
          <w:color w:val="555555"/>
          <w:sz w:val="18"/>
        </w:rPr>
        <w:t xml:space="preserve">Flüchtlingshilfegesetz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Liegen Voraussetzungen im Sinne des § 301 Abs. 2 Satz 2 oder des § 359 Abs. 1 oder 3 des Lastenausgleichsgesetzes vor, werden Leistungen nach diesem Gesetz nicht gewährt; auf Schäden und Verluste an Wirtschaftsgütern, die nach der Besetzung des Schadensgebiets unter Ausnutzung der dort bestehenden Verhältnisse erworben worden sind, ist § 359 Abs. 3 Nr. 3 des Lastenausgleichsgesetzes entsprechend anzuwenden.</w:t>
      </w:r>
    </w:p>
    <w:p>
      <w:r>
        <w:rPr>
          <w:color w:val="555555"/>
          <w:sz w:val="17"/>
        </w:rPr>
        <w:t xml:space="preserve">Zitiervorschlag: § 2 FlüHG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https://recht.nulegal.eu/gesetze/Fl%C3%BCHG/2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