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FlüHG — Einkommenshöchstbetrag und Höhe der laufenden Beihilfe</w:t>
      </w:r>
    </w:p>
    <w:p>
      <w:r>
        <w:rPr>
          <w:color w:val="555555"/>
          <w:sz w:val="18"/>
        </w:rPr>
        <w:t xml:space="preserve">Flüchtlingshilfegesetz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Einkommenshöchstbetrag und die Höhe der Beihilfe zum Lebensunterhalt sind die §§ 267 bis 270a, 275 und 277a des Lastenausgleichsgesetzes, für die besondere laufende Beihilfe ist § 301a Abs. 3 des Lastenausgleichsgesetzes entsprechend anzuwenden. Bei der Anwendung des § 269a Abs. 2 des Lastenausgleichsgesetzes ist an Stelle des Endgrundbetrags der Hauptentschädigung von dem Grundbetrag auszugehen, der aus dem Vermögensschaden im Sinne des § 10 Abs. 1 Nr. 3 Satz 1 in entsprechender Anwendung der Rechtsverordnung nach § 301a Abs. 3 des Lastenausgleichsgesetzes errechnet wird.</w:t>
      </w:r>
    </w:p>
    <w:p>
      <w:r>
        <w:rPr>
          <w:color w:val="555555"/>
          <w:sz w:val="17"/>
        </w:rPr>
        <w:t xml:space="preserve">Zitiervorschlag: § 12 FlüHG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https://recht.nulegal.eu/gesetze/Fl%C3%BCHG/12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