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FlüHG — Personenkreis</w:t>
      </w:r>
    </w:p>
    <w:p>
      <w:r>
        <w:rPr>
          <w:color w:val="555555"/>
          <w:sz w:val="18"/>
        </w:rPr>
        <w:t xml:space="preserve">Flüchtlingshilfegesetz</w:t>
      </w:r>
    </w:p>
    <w:p>
      <w:r>
        <w:rPr>
          <w:color w:val="555555"/>
          <w:sz w:val="18"/>
        </w:rPr>
        <w:t xml:space="preserve">Stand: 10.06.2019 (konsolidierte Textfassung, kein amtliches Inkrafttretensdatum)</w:t>
      </w:r>
    </w:p>
    <w:p>
      <w:r>
        <w:t xml:space="preserve">(1) Leistungen nach Maßgabe der folgenden Vorschriften erhalten auf Antrag deutsche Staatsangehörige und deutsche Volkszugehörige, die ihren Wohnsitz oder ständigen Aufenthalt in der sowjetischen Besatzungszone Deutschlands oder im sowjetisch besetzten Sektor von Berlin (Schadensgebiet) gehabt haben, wenn sie im Zuge der Besetzung oder nach der Besetzung des Schadensgebiets und vor dem 1. Juli 1990 in den Geltungsbereich des Gesetzes zugezogen sind und sich ständig im Geltungsbereich des Gesetzes aufhalten. Weitere Voraussetzung ist, daß sie entsprechende Leistungen nicht nach anderen Vorschriften erhalten können. Bei Antragstellern, die nach dem 26. August 1950 zugezogen sind, ist ferner erforderlich, daß sie im Wege der Notaufnahme oder eines vergleichbaren Verfahrens aufgenommen wurden.</w:t>
      </w:r>
    </w:p>
    <w:p>
      <w:r>
        <w:t xml:space="preserve">(2) § 1 Abs. 1 Satz 2 und 3 und Abs. 3 sowie § 6 des Bundesvertriebenengesetzes und § 230a des Lastenausgleichsgesetzes sind entsprechend anzuwenden.</w:t>
      </w:r>
    </w:p>
    <w:p>
      <w:r>
        <w:rPr>
          <w:color w:val="555555"/>
          <w:sz w:val="17"/>
        </w:rPr>
        <w:t xml:space="preserve">Zitiervorschlag: § 1 FlüHG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