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FischwAusbV — Prüfungsbereiche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findet in den folgenden Prüfungsbereichen statt:</w:t>
      </w:r>
    </w:p>
    <w:p>
      <w:pPr>
        <w:ind w:left="420"/>
      </w:pPr>
      <w:r>
        <w:t xml:space="preserve">1. Fischereiliche Nutzung sowie</w:t>
      </w:r>
    </w:p>
    <w:p>
      <w:pPr>
        <w:ind w:left="420"/>
      </w:pPr>
      <w:r>
        <w:t xml:space="preserve">2. Maschinen und Geräte, Be- und Verarbeitung.</w:t>
      </w:r>
    </w:p>
    <w:p>
      <w:r>
        <w:rPr>
          <w:color w:val="555555"/>
          <w:sz w:val="17"/>
        </w:rPr>
        <w:t xml:space="preserve">Zitiervorschlag: § 9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