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FischwAusbV — Prüfungsbereich Fischereibiologie, Bewirtschaftung und Vermarktung</w:t>
      </w:r>
    </w:p>
    <w:p>
      <w:r>
        <w:rPr>
          <w:color w:val="555555"/>
          <w:sz w:val="18"/>
        </w:rPr>
        <w:t xml:space="preserve">Fischwirtausbildungsverordnung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Fischereibiologie, Bewirtschaftung und Vermarktung soll der Prüfling nachweisen, dass er in der Lage ist,</w:t>
      </w:r>
    </w:p>
    <w:p>
      <w:pPr>
        <w:ind w:left="420"/>
      </w:pPr>
      <w:r>
        <w:t xml:space="preserve">1. Eigenschaften von Meeresgebieten in Bezug auf ihre Eignung als Fanggebiet zu beurteilen,</w:t>
      </w:r>
    </w:p>
    <w:p>
      <w:pPr>
        <w:ind w:left="420"/>
      </w:pPr>
      <w:r>
        <w:t xml:space="preserve">2. Maßnahmen der nachhaltigen Bestandsbewirtschaftung zu beurteilen,</w:t>
      </w:r>
    </w:p>
    <w:p>
      <w:pPr>
        <w:ind w:left="420"/>
      </w:pPr>
      <w:r>
        <w:t xml:space="preserve">3. ökologische Zusammenhänge verschiedener Meeresgebiete und deren Bedeutung für die Fischerei darzustellen und zu vergleichen sowie</w:t>
      </w:r>
    </w:p>
    <w:p>
      <w:pPr>
        <w:ind w:left="420"/>
      </w:pPr>
      <w:r>
        <w:t xml:space="preserve">4. Methoden zur Sicherung der Produktqualität vom Fang bis zur Vermarktung auszuwählen.</w:t>
      </w:r>
    </w:p>
    <w:p>
      <w:r>
        <w:t xml:space="preserve">(2) Im Zusammenhang mit dem Nachweis der in Absatz 1 genannten Anforderungen soll der Prüfling auch nachweisen, dass er in der Lage ist,</w:t>
      </w:r>
    </w:p>
    <w:p>
      <w:pPr>
        <w:ind w:left="420"/>
      </w:pPr>
      <w:r>
        <w:t xml:space="preserve">1. betriebliche Vorgaben umzusetzen und betriebliche Rahmenbedingungen zu beachten,</w:t>
      </w:r>
    </w:p>
    <w:p>
      <w:pPr>
        <w:ind w:left="420"/>
      </w:pPr>
      <w:r>
        <w:t xml:space="preserve">2. Arbeitszusammenhänge zu erkennen sowie Arbeitsmittel und Arbeitsabläufe festzulegen,</w:t>
      </w:r>
    </w:p>
    <w:p>
      <w:pPr>
        <w:ind w:left="420"/>
      </w:pPr>
      <w:r>
        <w:t xml:space="preserve">3. Maßnahmen zur Arbeitsorganisation und zur Wirtschaftlichkeit sowie zur Sicherheit und zum Gesundheitsschutz bei der Arbeit zu ergreifen,</w:t>
      </w:r>
    </w:p>
    <w:p>
      <w:pPr>
        <w:ind w:left="420"/>
      </w:pPr>
      <w:r>
        <w:t xml:space="preserve">4. Maßnahmen zur Qualitäts- und Hygienesicherung zu ergreifen,</w:t>
      </w:r>
    </w:p>
    <w:p>
      <w:pPr>
        <w:ind w:left="420"/>
      </w:pPr>
      <w:r>
        <w:t xml:space="preserve">5. Maßnahmen zum Umweltschutz, zur Nachhaltigkeit und zum Tierschutz zu ergreifen,</w:t>
      </w:r>
    </w:p>
    <w:p>
      <w:pPr>
        <w:ind w:left="420"/>
      </w:pPr>
      <w:r>
        <w:t xml:space="preserve">6. berufsbezogene rechtliche Bestimmungen zu berücksichtigen sowie</w:t>
      </w:r>
    </w:p>
    <w:p>
      <w:pPr>
        <w:ind w:left="420"/>
      </w:pPr>
      <w:r>
        <w:t xml:space="preserve">7. die wesentlichen fachlichen Zusammenhänge aufzuzeigen und seine Vorgehensweise zu begründen.</w:t>
      </w:r>
    </w:p>
    <w:p>
      <w:r>
        <w:t xml:space="preserve">(3) Die Aufgaben, die dem Prüfling gestellt werden, müssen komplex und praxisbezogen sein. Der Prüfling soll die Aufgaben schriftlich bearbeiten.</w:t>
      </w:r>
    </w:p>
    <w:p>
      <w:r>
        <w:t xml:space="preserve">(4) Die Prüfungszeit beträgt 120 Minuten.</w:t>
      </w:r>
    </w:p>
    <w:p>
      <w:r>
        <w:rPr>
          <w:color w:val="555555"/>
          <w:sz w:val="17"/>
        </w:rPr>
        <w:t xml:space="preserve">Zitiervorschlag: § 24 FischwAusbV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https://recht.nulegal.eu/gesetze/FischwAusbV/24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