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FischwAusbV — Prüfungsbereich Motoren- und Maschinentechnik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Motoren- und Maschinentechnik soll der Prüfling nachweisen, dass er in der Lage ist,</w:t>
      </w:r>
    </w:p>
    <w:p>
      <w:pPr>
        <w:ind w:left="420"/>
      </w:pPr>
      <w:r>
        <w:t xml:space="preserve">1. Motoren und Maschinen zu bedienen,</w:t>
      </w:r>
    </w:p>
    <w:p>
      <w:pPr>
        <w:ind w:left="420"/>
      </w:pPr>
      <w:r>
        <w:t xml:space="preserve">2. die Funktionsfähigkeit von Motoren und Maschinen zu prüfen,</w:t>
      </w:r>
    </w:p>
    <w:p>
      <w:pPr>
        <w:ind w:left="420"/>
      </w:pPr>
      <w:r>
        <w:t xml:space="preserve">3. die Funktionsfähigkeit von Motoren und Maschinen zu erhalten sowie</w:t>
      </w:r>
    </w:p>
    <w:p>
      <w:pPr>
        <w:ind w:left="420"/>
      </w:pPr>
      <w:r>
        <w:t xml:space="preserve">4. Funktionsstörungen von Motoren und Maschinen zu beurteilen und Maßnahmen zu ergreifen.</w:t>
      </w:r>
    </w:p>
    <w:p>
      <w:r>
        <w:t xml:space="preserve">(2) Im Zusammenhang mit dem Nachweis der in Absatz 1 genannten Anforderungen soll der Prüfling auch nachweisen, dass er in der Lage ist,</w:t>
      </w:r>
    </w:p>
    <w:p>
      <w:pPr>
        <w:ind w:left="420"/>
      </w:pPr>
      <w:r>
        <w:t xml:space="preserve">1. betriebliche Rahmenbedingungen zu beachten,</w:t>
      </w:r>
    </w:p>
    <w:p>
      <w:pPr>
        <w:ind w:left="420"/>
      </w:pPr>
      <w:r>
        <w:t xml:space="preserve">2. Arbeitszusammenhänge zu erkennen sowie Arbeitsmittel und Arbeitsabläufe festzulegen,</w:t>
      </w:r>
    </w:p>
    <w:p>
      <w:pPr>
        <w:ind w:left="420"/>
      </w:pPr>
      <w:r>
        <w:t xml:space="preserve">3. Maßnahmen zur Wirtschaftlichkeit sowie zur Sicherheit und zum Gesundheitsschutz bei der Arbeit zu ergreifen,</w:t>
      </w:r>
    </w:p>
    <w:p>
      <w:pPr>
        <w:ind w:left="420"/>
      </w:pPr>
      <w:r>
        <w:t xml:space="preserve">4. Maßnahmen zum Umweltschutz und zur Nachhaltigkeit umzusetzen,</w:t>
      </w:r>
    </w:p>
    <w:p>
      <w:pPr>
        <w:ind w:left="420"/>
      </w:pPr>
      <w:r>
        <w:t xml:space="preserve">5. berufsbezogene rechtliche Bestimmungen zu berücksichtigen sowie</w:t>
      </w:r>
    </w:p>
    <w:p>
      <w:pPr>
        <w:ind w:left="420"/>
      </w:pPr>
      <w:r>
        <w:t xml:space="preserve">6. die wesentlichen fachlichen Zusammenhänge aufzuzeigen und seine Vorgehensweise zu begründen.</w:t>
      </w:r>
    </w:p>
    <w:p>
      <w:r>
        <w:t xml:space="preserve">(3) Für den Nachweis nach den Absätzen 1 und 2 sind durch den Prüfungsausschuss mindestens zwei der folgenden Gebiete zugrunde zu legen:</w:t>
      </w:r>
    </w:p>
    <w:p>
      <w:pPr>
        <w:ind w:left="420"/>
      </w:pPr>
      <w:r>
        <w:t xml:space="preserve">1. Kraftstoffanlage und Ölkreislauf,</w:t>
      </w:r>
    </w:p>
    <w:p>
      <w:pPr>
        <w:ind w:left="420"/>
      </w:pPr>
      <w:r>
        <w:t xml:space="preserve">2. Kühlkreislauf,</w:t>
      </w:r>
    </w:p>
    <w:p>
      <w:pPr>
        <w:ind w:left="420"/>
      </w:pPr>
      <w:r>
        <w:t xml:space="preserve">3. Getriebe und Antrieb,</w:t>
      </w:r>
    </w:p>
    <w:p>
      <w:pPr>
        <w:ind w:left="420"/>
      </w:pPr>
      <w:r>
        <w:t xml:space="preserve">4. Winden sowie</w:t>
      </w:r>
    </w:p>
    <w:p>
      <w:pPr>
        <w:ind w:left="420"/>
      </w:pPr>
      <w:r>
        <w:t xml:space="preserve">5. elektrische Anlagen.</w:t>
      </w:r>
    </w:p>
    <w:p>
      <w:r>
        <w:t xml:space="preserve">(4) Der Prüfling soll zwei Arbeitsaufgaben durchführen. Nach der Durchführung wird mit ihm über jede Arbeitsaufgabe ein auftragsbezogenes Fachgespräch geführt.</w:t>
      </w:r>
    </w:p>
    <w:p>
      <w:r>
        <w:t xml:space="preserve">(5) Die Prüfungszeit beträgt insgesamt 120 Minuten. Die beiden auftragsbezogenen Fachgespräche dauern zusammen höchstens 20 Minuten.</w:t>
      </w:r>
    </w:p>
    <w:p>
      <w:r>
        <w:rPr>
          <w:color w:val="555555"/>
          <w:sz w:val="17"/>
        </w:rPr>
        <w:t xml:space="preserve">Zitiervorschlag: § 21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