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FischwAusbV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Fischereitechnik mit    30 Prozent,</w:t>
      </w:r>
    </w:p>
    <w:p>
      <w:r>
        <w:rPr>
          <w:rFonts w:ascii="Courier New" w:hAnsi="Courier New"/>
          <w:sz w:val="17"/>
        </w:rPr>
        <w:t xml:space="preserve">Fang und Vermarktung mit    30 Prozent,</w:t>
      </w:r>
    </w:p>
    <w:p>
      <w:r>
        <w:rPr>
          <w:rFonts w:ascii="Courier New" w:hAnsi="Courier New"/>
          <w:sz w:val="17"/>
        </w:rPr>
        <w:t xml:space="preserve">Fischereiliche Bewirtschaftung mit    30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„Fischereiliche Bewirtschaftung“ sowie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19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