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FischwAusbV — Prüfungsbereich Fischereiliche Bewirtschaftung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Fischereiliche Bewirtschaftung soll der Prüfling nachweisen, dass er in der Lage ist,</w:t>
      </w:r>
    </w:p>
    <w:p>
      <w:pPr>
        <w:ind w:left="420"/>
      </w:pPr>
      <w:r>
        <w:t xml:space="preserve">1. die Qualität von Fischereigewässern als Lebensraum zu beurteilen,</w:t>
      </w:r>
    </w:p>
    <w:p>
      <w:pPr>
        <w:ind w:left="420"/>
      </w:pPr>
      <w:r>
        <w:t xml:space="preserve">2. Fischbestände zu bewirtschaften,</w:t>
      </w:r>
    </w:p>
    <w:p>
      <w:pPr>
        <w:ind w:left="420"/>
      </w:pPr>
      <w:r>
        <w:t xml:space="preserve">3. Gefährdungen der Fischgesundheit und Handlungsoptionen darzustellen,</w:t>
      </w:r>
    </w:p>
    <w:p>
      <w:pPr>
        <w:ind w:left="420"/>
      </w:pPr>
      <w:r>
        <w:t xml:space="preserve">4. Vermehrungsmethoden zu unterscheiden,</w:t>
      </w:r>
    </w:p>
    <w:p>
      <w:pPr>
        <w:ind w:left="420"/>
      </w:pPr>
      <w:r>
        <w:t xml:space="preserve">5. Aufzucht- und Haltungsmethoden auszuwählen sowie</w:t>
      </w:r>
    </w:p>
    <w:p>
      <w:pPr>
        <w:ind w:left="420"/>
      </w:pPr>
      <w:r>
        <w:t xml:space="preserve">6. Futtermittel auszuwählen und zu lagern sowie Futterbedarfe zu ermitteln.</w:t>
      </w:r>
    </w:p>
    <w:p>
      <w:r>
        <w:t xml:space="preserve">(2) Im Zusammenhang mit dem Nachweis der in Absatz 1 genannten Anforderungen soll der Prüfling auch nachweisen, dass er in der Lage ist,</w:t>
      </w:r>
    </w:p>
    <w:p>
      <w:pPr>
        <w:ind w:left="420"/>
      </w:pPr>
      <w:r>
        <w:t xml:space="preserve">1. betriebliche Vorgaben umzusetzen und betriebliche Rahmenbedingungen zu beachten,</w:t>
      </w:r>
    </w:p>
    <w:p>
      <w:pPr>
        <w:ind w:left="420"/>
      </w:pPr>
      <w:r>
        <w:t xml:space="preserve">2. Arbeitszusammenhänge zu erkennen sowie Arbeitsmittel und Arbeitsabläufe festzulegen,</w:t>
      </w:r>
    </w:p>
    <w:p>
      <w:pPr>
        <w:ind w:left="420"/>
      </w:pPr>
      <w:r>
        <w:t xml:space="preserve">3. Maßnahmen zur Arbeitsorganisation und Wirtschaftlichkeit sowie zur Sicherheit und zum Gesundheitsschutz bei der Arbeit zu ergreifen,</w:t>
      </w:r>
    </w:p>
    <w:p>
      <w:pPr>
        <w:ind w:left="420"/>
      </w:pPr>
      <w:r>
        <w:t xml:space="preserve">4. Maßnahmen zur Qualitäts- und Hygienesicherung anzuwenden,</w:t>
      </w:r>
    </w:p>
    <w:p>
      <w:pPr>
        <w:ind w:left="420"/>
      </w:pPr>
      <w:r>
        <w:t xml:space="preserve">5. Maßnahmen zum Umweltschutz, zur Nachhaltigkeit und zum Tierschutz zu beachten,</w:t>
      </w:r>
    </w:p>
    <w:p>
      <w:pPr>
        <w:ind w:left="420"/>
      </w:pPr>
      <w:r>
        <w:t xml:space="preserve">6. berufsbezogene rechtliche Bestimmungen zu berücksichtigen sowie</w:t>
      </w:r>
    </w:p>
    <w:p>
      <w:pPr>
        <w:ind w:left="420"/>
      </w:pPr>
      <w:r>
        <w:t xml:space="preserve">7. die wesentlichen fachlichen Zusammenhänge aufzuzeigen und seine Vorgehensweise zu begründen.</w:t>
      </w:r>
    </w:p>
    <w:p>
      <w:r>
        <w:t xml:space="preserve">(3) Die Aufgaben, die dem Prüfling gestellt werden, müssen komplex und praxisbezogen sein. Der Prüfling soll die Aufgaben schriftlich bearbeiten.</w:t>
      </w:r>
    </w:p>
    <w:p>
      <w:r>
        <w:t xml:space="preserve">(4) Die Prüfungszeit beträgt 150 Minuten.</w:t>
      </w:r>
    </w:p>
    <w:p>
      <w:r>
        <w:rPr>
          <w:color w:val="555555"/>
          <w:sz w:val="17"/>
        </w:rPr>
        <w:t xml:space="preserve">Zitiervorschlag: § 17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