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FischwAusbV — Prüfungsbereiche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Abschlussprüfung in der Fachrichtung Aquakultur und Binnenfischerei findet in den folgenden Prüfungsbereichen statt:</w:t>
      </w:r>
    </w:p>
    <w:p>
      <w:pPr>
        <w:ind w:left="420"/>
      </w:pPr>
      <w:r>
        <w:t xml:space="preserve">1. Fischereitechnik,</w:t>
      </w:r>
    </w:p>
    <w:p>
      <w:pPr>
        <w:ind w:left="420"/>
      </w:pPr>
      <w:r>
        <w:t xml:space="preserve">2. Fang und Vermarktung,</w:t>
      </w:r>
    </w:p>
    <w:p>
      <w:pPr>
        <w:ind w:left="420"/>
      </w:pPr>
      <w:r>
        <w:t xml:space="preserve">3. Fischereiliche Bewirtschaftung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14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