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FischwAusbV — Prüfungsbereich Fischereiliche Nutzung</w:t>
      </w:r>
    </w:p>
    <w:p>
      <w:r>
        <w:rPr>
          <w:color w:val="555555"/>
          <w:sz w:val="18"/>
        </w:rPr>
        <w:t xml:space="preserve">Fischwirtausbildungsverordnung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Fischereiliche Nutzung soll der Prüfling nachweisen, dass er in der Lage ist,</w:t>
      </w:r>
    </w:p>
    <w:p>
      <w:pPr>
        <w:ind w:left="420"/>
      </w:pPr>
      <w:r>
        <w:t xml:space="preserve">1. Gewässerformen und Gewässerstrukturen im Hinblick auf die fischereiliche Nutzung zu beurteilen,</w:t>
      </w:r>
    </w:p>
    <w:p>
      <w:pPr>
        <w:ind w:left="420"/>
      </w:pPr>
      <w:r>
        <w:t xml:space="preserve">2. fischereiliche Nutztiere und deren Ansprüche an den Lebensraum zu unterscheiden,</w:t>
      </w:r>
    </w:p>
    <w:p>
      <w:pPr>
        <w:ind w:left="420"/>
      </w:pPr>
      <w:r>
        <w:t xml:space="preserve">3. Schadorganismen und Krankheitsbilder zu erkennen sowie</w:t>
      </w:r>
    </w:p>
    <w:p>
      <w:pPr>
        <w:ind w:left="420"/>
      </w:pPr>
      <w:r>
        <w:t xml:space="preserve">4. Wetterinformationen zu bewerten.</w:t>
      </w:r>
    </w:p>
    <w:p>
      <w:r>
        <w:t xml:space="preserve">(2) Im Zusammenhang mit dem Nachweis der in Absatz 1 genannten Anforderungen soll der Prüfling auch nachweisen, dass er in der Lage ist,</w:t>
      </w:r>
    </w:p>
    <w:p>
      <w:pPr>
        <w:ind w:left="420"/>
      </w:pPr>
      <w:r>
        <w:t xml:space="preserve">1. Maßnahmen zum Umweltschutz, zur Nachhaltigkeit und zum Tierschutz zu berücksichtigen,</w:t>
      </w:r>
    </w:p>
    <w:p>
      <w:pPr>
        <w:ind w:left="420"/>
      </w:pPr>
      <w:r>
        <w:t xml:space="preserve">2. berufsbezogene rechtliche Bestimmungen zu beachten sowie</w:t>
      </w:r>
    </w:p>
    <w:p>
      <w:pPr>
        <w:ind w:left="420"/>
      </w:pPr>
      <w:r>
        <w:t xml:space="preserve">3. die wesentlichen fachlichen Zusammenhänge aufzuzeigen und seine Vorgehensweise zu begründen.</w:t>
      </w:r>
    </w:p>
    <w:p>
      <w:r>
        <w:t xml:space="preserve">(3) Die Aufgaben, die dem Prüfling gestellt werden, müssen komplex und praxisbezogen sein. Der Prüfling soll die Aufgaben schriftlich bearbeiten.</w:t>
      </w:r>
    </w:p>
    <w:p>
      <w:r>
        <w:t xml:space="preserve">(4) Die Prüfungszeit beträgt 90 Minuten.</w:t>
      </w:r>
    </w:p>
    <w:p>
      <w:r>
        <w:rPr>
          <w:color w:val="555555"/>
          <w:sz w:val="17"/>
        </w:rPr>
        <w:t xml:space="preserve">Zitiervorschlag: § 10 FischwAusbV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https://recht.nulegal.eu/gesetze/FischwAusbV/10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