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FischwAusbStEignV</w:t>
      </w:r>
    </w:p>
    <w:p>
      <w:r>
        <w:rPr>
          <w:color w:val="555555"/>
          <w:sz w:val="18"/>
        </w:rPr>
        <w:t xml:space="preserve">Fischwirte-Ausbildungsstätteneignungsverordnung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27 Absatz 3 Satz 2 in Verbindung mit Absatz 1 und 2 des Berufsbildungsgesetzes, dessen Absatz 3 zuletzt durch Artikel 436 Nummer 2 Buchstabe a der Verordnung vom 31. August 2015 (BGBl. I S. 1474) geändert worden ist, verordnet das Bundesministerium für Ernährung und Landwirtschaft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FischwAusbStEignV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https://recht.nulegal.eu/gesetze/FischwAusbStEignV/eingangsformel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