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FischwAusbStEignV — Inkrafttreten, Außerkrafttreten</w:t>
      </w:r>
    </w:p>
    <w:p>
      <w:r>
        <w:rPr>
          <w:color w:val="555555"/>
          <w:sz w:val="18"/>
        </w:rPr>
        <w:t xml:space="preserve">Fischwirte-Ausbildungsstätteneignungsverordnung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Verordnung über die Eignung der Ausbildungsstätte für die Berufsausbildung zum Fischwirt vom 21. Dezember 1978 (BGBl. I S. 2072), die durch Artikel 6 Absatz 17 des Gesetzes vom 23. Mai 2017 (BGBl. I S. 1228) geändert worden ist, außer Kraft.</w:t>
      </w:r>
    </w:p>
    <w:p>
      <w:r>
        <w:rPr>
          <w:color w:val="555555"/>
          <w:sz w:val="17"/>
        </w:rPr>
        <w:t xml:space="preserve">Zitiervorschlag: § 4 FischwAusbStEignV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https://recht.nulegal.eu/gesetze/FischwAusbStEignV/4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