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 FischWiVorschrAufhG — Inkrafttreten</w:t>
      </w:r>
    </w:p>
    <w:p>
      <w:r>
        <w:rPr>
          <w:color w:val="555555"/>
          <w:sz w:val="18"/>
        </w:rPr>
        <w:t xml:space="preserve">Gesetz zur Aufhebung des Fischwirtschaftsgesetzes und der Fischwirtschaftsverordnung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Januar 1998 in Kraft.</w:t>
      </w:r>
    </w:p>
    <w:p>
      <w:r>
        <w:rPr>
          <w:color w:val="555555"/>
          <w:sz w:val="17"/>
        </w:rPr>
        <w:t xml:space="preserve">Zitiervorschlag: § 4 FischWiVorschrAufhG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https://recht.nulegal.eu/gesetze/FischWiVorschrAufhG/4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 FischWiVorschrAufhG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