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FischWiVorschrAufhG — Neubekanntmachung des Seefischereigesetzes</w:t>
      </w:r>
    </w:p>
    <w:p>
      <w:r>
        <w:rPr>
          <w:color w:val="555555"/>
          <w:sz w:val="18"/>
        </w:rPr>
        <w:t xml:space="preserve">Gesetz zur Aufhebung des Fischwirtschaftsgesetzes und der Fischwirtschaftsverordnung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Ernährung, Landwirtschaft und Forsten kann den Wortlaut des Seefischereigesetzes in der vom Inkrafttreten des Zweiten Gesetzes zur Änderung des Seefischereigesetzes an geltenden Fassung im Bundesgesetzblatt bekanntmachen.</w:t>
      </w:r>
    </w:p>
    <w:p>
      <w:r>
        <w:rPr>
          <w:color w:val="555555"/>
          <w:sz w:val="17"/>
        </w:rPr>
        <w:t xml:space="preserve">Zitiervorschlag: § 3 FischWiVorschrAufhG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https://recht.nulegal.eu/gesetze/FischWiVorschrAufhG/3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