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FischVergünstV</w:t>
      </w:r>
    </w:p>
    <w:p>
      <w:r>
        <w:rPr>
          <w:color w:val="555555"/>
          <w:sz w:val="18"/>
        </w:rPr>
        <w:t xml:space="preserve">Fischereierzeugnisse-Vergünstigungs-Verordnung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6 Abs. 1 Nr. 9 und 16 und des § 9 des Gesetzes zur Durchführung der gemeinsamen Marktorganisationen vom 31. August 1972 (BGBl. I S. 1617), die durch Artikel 38 Nr. 1 des Gesetzes vom 18. März 1975 (BGBl. I S. 705) geändert worden sind, auf Grund des § 10 Abs. 1 und des § 12 des Gesetzes zur Durchführung der gemeinsamen Marktorganisationen sowie auf Grund des § 26 Abs. 2 des Gesetzes zur Durchführung der gemeinsamen Marktorganisationen, der durch § 23 Nr. 4 des Gesetzes vom 23. Juni 1976 (BGBl. I S. 1608) geändert worden ist, wird im Einvernehmen mit den Bundesministern der Finanzen und für Wirtschaft verordnet:</w:t>
      </w:r>
    </w:p>
    <w:p>
      <w:r>
        <w:rPr>
          <w:color w:val="555555"/>
          <w:sz w:val="17"/>
        </w:rPr>
        <w:t xml:space="preserve">Zitiervorschlag: Eingangsformel FischVergünstV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https://recht.nulegal.eu/gesetze/FischVerg%C3%BCnstV/eingangsformel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