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FischVergünstV — Inkrafttreten</w:t>
      </w:r>
    </w:p>
    <w:p>
      <w:r>
        <w:rPr>
          <w:color w:val="555555"/>
          <w:sz w:val="18"/>
        </w:rPr>
        <w:t xml:space="preserve">Fischereierzeugnisse-Vergünstigungs-Verordnung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11 FischVergünstV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https://recht.nulegal.eu/gesetze/FischVerg%C3%BCnstV/11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FischVergünstV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