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FischSeuchV 2008 — Überwachung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Die zuständige Behörde führt unter Beachtung der Artikel 9 und 10 der Verordnung (EU) 2017/625 des Europäischen Parlaments und des Rates vom 15. März 2017 über amtliche Kontrollen und andere amtliche Tätigkeiten zur Gewährleistung der Anwendung des Lebens- und Futtermittelrechts und der Vorschriften über Tiergesundheit und Tierschutz, Pflanzengesundheit und Pflanzenschutzmittel, zur Änderung der Verordnungen (EG) Nr. 999/2001, (EG) Nr. 396/2005, (EG) Nr. 1069/2009, (EG) Nr. 1107/2009, (EU) Nr. 1151/2012, (EU) Nr. 652/2014, (EU) 2016/429 und (EU) 2016/2031 des Europäischen Parlaments und des Rates, der Verordnungen (EG) Nr. 1/2005 und (EG) Nr. 1099/2009 des Rates sowie der Richtlinien 98/58/EG, 1999/74/EG, 2007/43/EG, 2008/119/EG und 2008/120/EG des Rates und zur Aufhebung der Verordnungen (EG) Nr. 854/2004 und (EG) Nr. 882/2004 des Europäischen Parlaments und des Rates, der Richtlinien 89/608/EWG, 89/662/EWG, 90/425/EWG, 91/496/EEG, 96/23/EG, 96/93/EG und 97/78/EG des Rates und des Beschlusses 92/438/EWG des Rates (Verordnung über amtliche Kontrollen) (ABl. L 95 vom 7.4.2017, S. 1; L 137 vom 24.5.2017, S. 40; L 48 vom 21.2.2018, S. 44; L 322 vom 18.12.2018, S. 85) in der jeweils geltenden Fassung in Betrieben, in denen eine genehmigungspflichtige Tätigkeit nach § 3 ausgeübt wird, Untersuchungen nach Maßgabe der in Anhang III Teil B Spalte 5 der Richtlinie 2006/88/EG genannten Häufigkeit auf die in Spalte 4 genannte Überwachungsart durch. Dabei ist nach Maßgabe des Anhangs III Teil B Spalte 3 der Richtlinie 2006/88/EG das von dem Betrieb ausgehende Risiko in Bezug auf die Einschleppung und die Übertragung von Seuchenerregern zu berücksichtigen.</w:t>
      </w:r>
    </w:p>
    <w:p>
      <w:r>
        <w:t xml:space="preserve">(2) Die zuständige Behörde kann, soweit es aus Gründen der Seuchenbekämpfung erforderlich ist, für Fische aus Aquakultur bestimmter Betriebe eine amtstierärztliche Untersuchung einschließlich der Entnahme von Probenmaterial anordnen.</w:t>
      </w:r>
    </w:p>
    <w:p>
      <w:r>
        <w:rPr>
          <w:color w:val="555555"/>
          <w:sz w:val="17"/>
        </w:rPr>
        <w:t xml:space="preserve">Zitiervorschlag: § 9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